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  <w:highlight w:val="none"/>
        </w:rPr>
        <w:t>第1</w:t>
      </w:r>
      <w:r>
        <w:rPr>
          <w:rFonts w:hint="eastAsia" w:cs="宋体"/>
          <w:b/>
          <w:bCs/>
          <w:highlight w:val="none"/>
          <w:lang w:val="en-US" w:eastAsia="zh-CN"/>
        </w:rPr>
        <w:t>81</w:t>
      </w:r>
      <w:r>
        <w:rPr>
          <w:rFonts w:hint="eastAsia" w:cs="宋体"/>
          <w:b/>
          <w:bCs/>
          <w:highlight w:val="none"/>
        </w:rPr>
        <w:t>号</w:t>
      </w:r>
      <w:r>
        <w:rPr>
          <w:b/>
          <w:bCs/>
          <w:highlight w:val="none"/>
        </w:rPr>
        <w:t xml:space="preserve"> </w:t>
      </w:r>
      <w:r>
        <w:rPr>
          <w:rFonts w:hint="eastAsia" w:cs="宋体"/>
          <w:b/>
          <w:bCs/>
          <w:highlight w:val="none"/>
        </w:rPr>
        <w:t>（总第</w:t>
      </w:r>
      <w:r>
        <w:rPr>
          <w:rFonts w:hint="eastAsia"/>
          <w:b/>
          <w:bCs/>
          <w:highlight w:val="none"/>
          <w:lang w:val="en-US" w:eastAsia="zh-CN"/>
        </w:rPr>
        <w:t>854</w:t>
      </w:r>
      <w:r>
        <w:rPr>
          <w:rFonts w:hint="eastAsia" w:cs="宋体"/>
          <w:b/>
          <w:bCs/>
          <w:highlight w:val="none"/>
        </w:rPr>
        <w:t>号）</w:t>
      </w:r>
      <w:r>
        <w:rPr>
          <w:b/>
          <w:bCs/>
          <w:highlight w:val="none"/>
        </w:rPr>
        <w:t xml:space="preserve">    </w:t>
      </w:r>
      <w:r>
        <w:rPr>
          <w:rFonts w:hint="eastAsia"/>
          <w:b/>
          <w:bCs/>
          <w:highlight w:val="none"/>
        </w:rPr>
        <w:t xml:space="preserve"> </w:t>
      </w:r>
      <w:r>
        <w:rPr>
          <w:b/>
          <w:bCs/>
          <w:highlight w:val="none"/>
        </w:rPr>
        <w:t xml:space="preserve">  </w:t>
      </w:r>
      <w:r>
        <w:rPr>
          <w:rFonts w:hint="eastAsia"/>
          <w:b/>
          <w:bCs/>
          <w:highlight w:val="none"/>
        </w:rPr>
        <w:t xml:space="preserve"> </w:t>
      </w:r>
      <w:r>
        <w:rPr>
          <w:b/>
          <w:bCs/>
          <w:highlight w:val="none"/>
        </w:rPr>
        <w:t xml:space="preserve"> </w:t>
      </w:r>
      <w:r>
        <w:rPr>
          <w:rFonts w:hint="eastAsia"/>
          <w:b/>
          <w:bCs/>
          <w:highlight w:val="none"/>
        </w:rPr>
        <w:t xml:space="preserve">   </w:t>
      </w:r>
      <w:r>
        <w:rPr>
          <w:b/>
          <w:bCs/>
          <w:highlight w:val="none"/>
        </w:rPr>
        <w:t xml:space="preserve"> </w:t>
      </w:r>
      <w:r>
        <w:rPr>
          <w:rFonts w:ascii="宋体" w:hAnsi="宋体"/>
          <w:b/>
          <w:bCs/>
          <w:highlight w:val="none"/>
        </w:rPr>
        <w:t xml:space="preserve">  20</w:t>
      </w:r>
      <w:r>
        <w:rPr>
          <w:rFonts w:hint="eastAsia" w:ascii="宋体" w:hAnsi="宋体"/>
          <w:b/>
          <w:bCs/>
          <w:highlight w:val="none"/>
        </w:rPr>
        <w:t>22</w:t>
      </w:r>
      <w:r>
        <w:rPr>
          <w:rFonts w:ascii="宋体" w:hAnsi="宋体"/>
          <w:b/>
          <w:bCs/>
          <w:highlight w:val="none"/>
        </w:rPr>
        <w:t>.</w:t>
      </w:r>
      <w:r>
        <w:rPr>
          <w:rFonts w:hint="eastAsia" w:ascii="宋体" w:hAnsi="宋体"/>
          <w:b/>
          <w:bCs/>
          <w:highlight w:val="none"/>
          <w:lang w:val="en-US" w:eastAsia="zh-CN"/>
        </w:rPr>
        <w:t>8.25</w:t>
      </w:r>
      <w:r>
        <w:rPr>
          <w:b/>
          <w:bCs/>
          <w:highlight w:val="none"/>
        </w:rPr>
        <w:t xml:space="preserve">  </w:t>
      </w:r>
      <w:r>
        <w:rPr>
          <w:rFonts w:hint="eastAsia"/>
          <w:b/>
          <w:bCs/>
          <w:highlight w:val="none"/>
        </w:rPr>
        <w:t xml:space="preserve">   </w:t>
      </w:r>
      <w:r>
        <w:rPr>
          <w:b/>
          <w:bCs/>
          <w:highlight w:val="none"/>
        </w:rPr>
        <w:t xml:space="preserve"> </w:t>
      </w:r>
      <w:r>
        <w:rPr>
          <w:rFonts w:hint="eastAsia"/>
          <w:b/>
          <w:bCs/>
          <w:highlight w:val="none"/>
        </w:rPr>
        <w:t xml:space="preserve"> </w:t>
      </w:r>
      <w:r>
        <w:rPr>
          <w:b/>
          <w:bCs/>
          <w:highlight w:val="none"/>
        </w:rPr>
        <w:t xml:space="preserve">    </w:t>
      </w:r>
      <w:r>
        <w:rPr>
          <w:rFonts w:hint="eastAsia"/>
          <w:b/>
          <w:bCs/>
          <w:highlight w:val="none"/>
        </w:rPr>
        <w:t xml:space="preserve">  </w:t>
      </w:r>
      <w:r>
        <w:rPr>
          <w:b/>
          <w:bCs/>
          <w:highlight w:val="none"/>
        </w:rPr>
        <w:t xml:space="preserve"> </w:t>
      </w:r>
      <w:r>
        <w:rPr>
          <w:rFonts w:hint="eastAsia" w:cs="宋体"/>
          <w:b/>
          <w:bCs/>
          <w:highlight w:val="none"/>
        </w:rPr>
        <w:t>吉林师范</w:t>
      </w:r>
      <w:r>
        <w:rPr>
          <w:rFonts w:hint="eastAsia" w:cs="宋体"/>
          <w:b/>
          <w:bCs/>
        </w:rPr>
        <w:t>大学博达学院教务处</w:t>
      </w:r>
    </w:p>
    <w:tbl>
      <w:tblPr>
        <w:tblStyle w:val="5"/>
        <w:tblW w:w="9665" w:type="dxa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  <w:highlight w:val="none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kern w:val="36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  <w:highlight w:val="none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关于</w:t>
      </w:r>
      <w:r>
        <w:rPr>
          <w:rFonts w:ascii="宋体" w:hAnsi="宋体" w:cs="宋体"/>
          <w:b/>
          <w:bCs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ascii="宋体" w:hAnsi="宋体" w:cs="宋体"/>
          <w:b/>
          <w:bCs/>
          <w:sz w:val="32"/>
          <w:szCs w:val="32"/>
          <w:highlight w:val="none"/>
        </w:rPr>
        <w:t>-20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学年度第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  <w:highlight w:val="none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各教学单位：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为确保新学期教学工作稳定有序开展，教务处将组织人员对全校期初教学工作准备及运行情况进行检查，现将有关事项通知如下。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一、检查时间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第二周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至第三周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日至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（一）常规检查内容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1．各类教室、实验室的准备及卫生情况。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2. 学生与教师所用教材发放情况。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3．教学秩序情况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（1）日常教学质量监控表及查课情况。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（2）学生的出勤、听课情况。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（3）课表的运行及课堂秩序情况。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4. 听课任务布置情况。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5. 上学期期末、补考、重修考试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成绩单纸质版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材料归档情况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以及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电子版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学生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试卷存档等规范、完善情况。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 xml:space="preserve">6. 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上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学期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缺课三分之一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学生名单。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（二）重点检查内容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1. 任课教师的到岗、授课情况。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2. 课程的教学进度计划表、电子版教案和PPT（前4周教学内容）、教学大纲和考试大纲等相应教学文件和材料。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3. 各教学单位教研活动计划。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4．202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届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毕业生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毕业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（教育）实习的开展情况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5" w:firstLineChars="199"/>
        <w:rPr>
          <w:rFonts w:hint="default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上学期各类教学材料存档情况。（随堂记录本、听课记录、课时费相关材料等）</w:t>
      </w:r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三、检查要求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各教学单位全面自查与教务处重点抽检相结合。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1．各教学单位教学院长负责期初教学检查工作，拟定期初教学检查工作计划，并于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前上交期初教学检查工作计划（纸质版、电子版），联系人：邵艳茹。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2．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日下班前，将相关电子材料上传至网盘，并将文件网址与提取码发送至教务科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王丹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老师处，各教学单位将本部门教师《教学进度计划表》纸质版各教学单位留档。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．各教学单位对本部门期初教学工作情况进行自查，并做好过程性记录，对自查中发现的问题应积极协调，及时整改。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．教务处将于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第三周</w:t>
      </w:r>
      <w:r>
        <w:rPr>
          <w:rFonts w:hint="eastAsia" w:ascii="宋体" w:hAnsi="宋体" w:cs="宋体"/>
          <w:spacing w:val="2"/>
          <w:sz w:val="28"/>
          <w:szCs w:val="28"/>
        </w:rPr>
        <w:t>组织人员到各教学单位实地检查相关材料</w:t>
      </w:r>
      <w:r>
        <w:rPr>
          <w:rFonts w:hint="eastAsia" w:ascii="宋体" w:hAnsi="宋体" w:cs="宋体"/>
          <w:spacing w:val="2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视疫情防控形势）</w:t>
      </w:r>
      <w:r>
        <w:rPr>
          <w:rFonts w:hint="eastAsia" w:ascii="宋体" w:hAnsi="宋体" w:cs="宋体"/>
          <w:spacing w:val="2"/>
          <w:sz w:val="28"/>
          <w:szCs w:val="28"/>
        </w:rPr>
        <w:t>，具体时间另行通知。纸质版材料按类摆放整齐以备检查，各学院副院长负责汇报工作并配合教学检查工作。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.检查结束后，各教学单位要认真总结，针对问题提出整改意见，于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pacing w:val="2"/>
          <w:sz w:val="28"/>
          <w:szCs w:val="28"/>
        </w:rPr>
        <w:t>日前将期初教</w:t>
      </w:r>
      <w:bookmarkStart w:id="0" w:name="_GoBack"/>
      <w:bookmarkEnd w:id="0"/>
      <w:r>
        <w:rPr>
          <w:rFonts w:hint="eastAsia" w:ascii="宋体" w:hAnsi="宋体" w:cs="宋体"/>
          <w:spacing w:val="2"/>
          <w:sz w:val="28"/>
          <w:szCs w:val="28"/>
        </w:rPr>
        <w:t>学检查工作总结（纸质版、电子版）报送到教务处，联系人：邵艳茹。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教务处将结合各教学单位自查和抽查的情况，汇总检查结果，并在教务处网站教务简报版块向全院通报。</w:t>
      </w: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</w:pPr>
      <w:r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22年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03807"/>
    <w:multiLevelType w:val="singleLevel"/>
    <w:tmpl w:val="C4703807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Q3ODI2YzJiNGFiYzRiZGFjZDJlMmJhNTNjZmVhNWMifQ=="/>
  </w:docVars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85192"/>
    <w:rsid w:val="001A05F3"/>
    <w:rsid w:val="001B22DD"/>
    <w:rsid w:val="001C5886"/>
    <w:rsid w:val="001D1244"/>
    <w:rsid w:val="001D70B3"/>
    <w:rsid w:val="001D75A6"/>
    <w:rsid w:val="001D7792"/>
    <w:rsid w:val="001E338D"/>
    <w:rsid w:val="001E7A52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1677A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5C4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8F7755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143B1"/>
    <w:rsid w:val="00E4418B"/>
    <w:rsid w:val="00E86EFF"/>
    <w:rsid w:val="00EA0F13"/>
    <w:rsid w:val="00EC1FA0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43A7300"/>
    <w:rsid w:val="05611E4A"/>
    <w:rsid w:val="06DD065E"/>
    <w:rsid w:val="077B1024"/>
    <w:rsid w:val="0A3E5427"/>
    <w:rsid w:val="0C104BB9"/>
    <w:rsid w:val="0D551908"/>
    <w:rsid w:val="0E0D01E8"/>
    <w:rsid w:val="15E96D31"/>
    <w:rsid w:val="189D0346"/>
    <w:rsid w:val="18C52AFE"/>
    <w:rsid w:val="1A6318AF"/>
    <w:rsid w:val="1DCD6F39"/>
    <w:rsid w:val="1EA820CA"/>
    <w:rsid w:val="20AD77FF"/>
    <w:rsid w:val="23594EAB"/>
    <w:rsid w:val="257B49C3"/>
    <w:rsid w:val="28445F24"/>
    <w:rsid w:val="29834C5F"/>
    <w:rsid w:val="2A425AC5"/>
    <w:rsid w:val="2CE81439"/>
    <w:rsid w:val="2E38220F"/>
    <w:rsid w:val="30CA1A96"/>
    <w:rsid w:val="399E34BB"/>
    <w:rsid w:val="3B9B5F0F"/>
    <w:rsid w:val="3D3535BC"/>
    <w:rsid w:val="41937863"/>
    <w:rsid w:val="420215A0"/>
    <w:rsid w:val="439B62EC"/>
    <w:rsid w:val="465B400A"/>
    <w:rsid w:val="47CD3935"/>
    <w:rsid w:val="495442A0"/>
    <w:rsid w:val="53C16A8C"/>
    <w:rsid w:val="575859BD"/>
    <w:rsid w:val="5E2D0F7F"/>
    <w:rsid w:val="5E5046E0"/>
    <w:rsid w:val="63141178"/>
    <w:rsid w:val="6F5C75F0"/>
    <w:rsid w:val="73224D1C"/>
    <w:rsid w:val="75256394"/>
    <w:rsid w:val="758153A6"/>
    <w:rsid w:val="761A1528"/>
    <w:rsid w:val="7A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904</Words>
  <Characters>943</Characters>
  <Lines>8</Lines>
  <Paragraphs>2</Paragraphs>
  <TotalTime>2</TotalTime>
  <ScaleCrop>false</ScaleCrop>
  <LinksUpToDate>false</LinksUpToDate>
  <CharactersWithSpaces>980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User</dc:creator>
  <cp:lastModifiedBy>芥m(-.-)</cp:lastModifiedBy>
  <cp:lastPrinted>2022-08-26T07:07:08Z</cp:lastPrinted>
  <dcterms:modified xsi:type="dcterms:W3CDTF">2022-08-26T07:07:10Z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3E69D9D4973A4F2D84AA24F0876DB7DF</vt:lpwstr>
  </property>
</Properties>
</file>